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B2C24" w:rsidRDefault="00EE0100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MATRIZ DE RESPONSABILIZAÇÃO </w:t>
      </w:r>
    </w:p>
    <w:p w:rsidR="00EB2C24" w:rsidRDefault="00EB2C24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5"/>
        <w:tblW w:w="14565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50"/>
        <w:gridCol w:w="11715"/>
      </w:tblGrid>
      <w:tr w:rsidR="00EB2C24">
        <w:tc>
          <w:tcPr>
            <w:tcW w:w="2850" w:type="dxa"/>
            <w:shd w:val="clear" w:color="auto" w:fill="CCCCCC"/>
          </w:tcPr>
          <w:p w:rsidR="00EB2C24" w:rsidRDefault="00EE010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EB2C24" w:rsidRDefault="00EB2C2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B2C24">
        <w:trPr>
          <w:trHeight w:val="232"/>
        </w:trPr>
        <w:tc>
          <w:tcPr>
            <w:tcW w:w="2850" w:type="dxa"/>
            <w:shd w:val="clear" w:color="auto" w:fill="CCCCCC"/>
          </w:tcPr>
          <w:p w:rsidR="00EB2C24" w:rsidRDefault="00EE010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EB2C24" w:rsidRDefault="00EB2C2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B2C24" w:rsidRDefault="00EB2C24">
      <w:pPr>
        <w:jc w:val="both"/>
        <w:rPr>
          <w:rFonts w:ascii="Rasa" w:eastAsia="Rasa" w:hAnsi="Rasa" w:cs="Rasa"/>
          <w:sz w:val="20"/>
          <w:szCs w:val="20"/>
        </w:rPr>
      </w:pPr>
    </w:p>
    <w:tbl>
      <w:tblPr>
        <w:tblStyle w:val="a6"/>
        <w:tblW w:w="14580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0"/>
        <w:gridCol w:w="11670"/>
      </w:tblGrid>
      <w:tr w:rsidR="00EB2C24">
        <w:trPr>
          <w:trHeight w:val="787"/>
        </w:trPr>
        <w:tc>
          <w:tcPr>
            <w:tcW w:w="2910" w:type="dxa"/>
            <w:shd w:val="clear" w:color="auto" w:fill="CCCCCC"/>
          </w:tcPr>
          <w:p w:rsidR="00EB2C24" w:rsidRDefault="00EE010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OBJETIVO D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COMPANHAMENTO</w:t>
            </w:r>
          </w:p>
        </w:tc>
        <w:tc>
          <w:tcPr>
            <w:tcW w:w="11670" w:type="dxa"/>
            <w:shd w:val="clear" w:color="auto" w:fill="auto"/>
          </w:tcPr>
          <w:p w:rsidR="00EB2C24" w:rsidRDefault="00EB2C2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B2C24" w:rsidRDefault="00EB2C24">
      <w:pPr>
        <w:rPr>
          <w:rFonts w:ascii="Rasa" w:eastAsia="Rasa" w:hAnsi="Rasa" w:cs="Rasa"/>
          <w:sz w:val="20"/>
          <w:szCs w:val="20"/>
        </w:rPr>
      </w:pPr>
    </w:p>
    <w:tbl>
      <w:tblPr>
        <w:tblStyle w:val="a7"/>
        <w:tblW w:w="146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635"/>
        <w:gridCol w:w="1740"/>
        <w:gridCol w:w="1500"/>
        <w:gridCol w:w="2490"/>
        <w:gridCol w:w="2925"/>
        <w:gridCol w:w="2190"/>
        <w:gridCol w:w="2120"/>
      </w:tblGrid>
      <w:tr w:rsidR="00EB2C24">
        <w:trPr>
          <w:trHeight w:val="386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ACHADO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RESPONSÁVEL (IS)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PERIODO DE EXERCICIO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CONDUTA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NEXO DE CAUSALIDADE</w:t>
            </w:r>
          </w:p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(entre a conduta e o resultado ilícito)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CULPABILIDADE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SANÇÕES </w:t>
            </w:r>
          </w:p>
          <w:p w:rsidR="00EB2C24" w:rsidRDefault="00EE01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(SE CABÍVEIS) </w:t>
            </w:r>
          </w:p>
        </w:tc>
      </w:tr>
      <w:tr w:rsidR="00EB2C24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Detalhar somente os achados que se constituem em falhas ou irregularidades. (1)</w:t>
            </w: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 xml:space="preserve">Indicar, além do nome, o cargo e o CPF </w:t>
            </w:r>
            <w:proofErr w:type="gramStart"/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do responsável pessoa física</w:t>
            </w:r>
            <w:proofErr w:type="gramEnd"/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. (2)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Indicar sempre e para todos os responsáveis o período de exercício. (3)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 xml:space="preserve">Identificar a ação ou a omissão, culposa ou dolosa praticada pelo responsável. </w:t>
            </w:r>
          </w:p>
          <w:p w:rsidR="00EB2C24" w:rsidRDefault="00EB2C24">
            <w:pPr>
              <w:rPr>
                <w:rFonts w:ascii="Arial" w:eastAsia="Arial" w:hAnsi="Arial" w:cs="Arial"/>
                <w:b/>
                <w:color w:val="FF0000"/>
                <w:sz w:val="14"/>
                <w:szCs w:val="14"/>
              </w:rPr>
            </w:pPr>
          </w:p>
          <w:p w:rsidR="00EB2C24" w:rsidRDefault="00EE0100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Nos casos de ação, utilizar verbos no infinitivo, mencionar os documentos que comprovem a conduta adotada e indicar a conduta correta que deveria ter sido tomada.</w:t>
            </w:r>
          </w:p>
          <w:p w:rsidR="00EB2C24" w:rsidRDefault="00EB2C24">
            <w:pPr>
              <w:rPr>
                <w:rFonts w:ascii="Arial" w:eastAsia="Arial" w:hAnsi="Arial" w:cs="Arial"/>
                <w:b/>
                <w:color w:val="FF0000"/>
                <w:sz w:val="14"/>
                <w:szCs w:val="14"/>
              </w:rPr>
            </w:pPr>
          </w:p>
          <w:p w:rsidR="00EB2C24" w:rsidRDefault="00EE0100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Nos casos d</w:t>
            </w: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e omissão, indicar o que deveria ter sido feito. (4)</w:t>
            </w:r>
          </w:p>
          <w:p w:rsidR="00EB2C24" w:rsidRDefault="00EB2C24">
            <w:pPr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Ao descrever a conduta deve se destacar quaisquer medidas tomadas por pessoas responsáveis, durante o acompanhamento, para reparar a perda, o mau uso ou desperdício gerados;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Evidenciar a relação de cau</w:t>
            </w: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sa e efeito entre a conduta do responsável e o resultado ilícito. (5)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(CONDUTA)...resultou… (RESULTADO ILÍCITO)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(CONDUTA)...propiciou... (RESULTADO ILÍCITO)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(CONDUTA)...</w:t>
            </w:r>
            <w:proofErr w:type="gramStart"/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possibilitou..</w:t>
            </w:r>
            <w:proofErr w:type="gramEnd"/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 xml:space="preserve">(RESULTADO ILÍCITO) 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Sempre que for o caso, deve ser destacado no res</w:t>
            </w: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ultado do ilícito o valor da perda, do mau uso ou do desperdício gerado e o montante a ser ressarcido devido à responsabilidade pessoal;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 xml:space="preserve">Avaliar a reprovabilidade da conduta, trazendo resposta aos questionamentos propostos nas instruções de preenchimento </w:t>
            </w: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da matriz. (6)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Devem ser destacados também os argumentos da administração sobre os atos de conformidade ou ilícitos;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Descrever as sugestões de sanções e seus respectivos fundamentos legais.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Na fase de avaliação de responsabilidades, caso a equipe avalie a conduta como de reduzido grau de reprovabilidade ou de contribuição para o resultado, ou ainda que o resultado observado seja de baixo potencial de dano, poderá, no exercício de sua avaliaçã</w:t>
            </w: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 xml:space="preserve">o independente, se manifestar pelo afastamento das penalidades cabíveis ou sua aplicação nos mínimos legais. </w:t>
            </w:r>
          </w:p>
          <w:p w:rsidR="00EB2C24" w:rsidRDefault="00EB2C24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</w:p>
          <w:p w:rsidR="00EB2C24" w:rsidRDefault="00EE0100">
            <w:pPr>
              <w:jc w:val="both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lastRenderedPageBreak/>
              <w:t>Caso a equipe de fiscalização avalie que o responsável está amparado por alguma excludente de ilicitude ou de culpabilidade, deve ser indicada qu</w:t>
            </w:r>
            <w:r>
              <w:rPr>
                <w:rFonts w:ascii="Arial" w:eastAsia="Arial" w:hAnsi="Arial" w:cs="Arial"/>
                <w:color w:val="FF0000"/>
                <w:sz w:val="14"/>
                <w:szCs w:val="14"/>
              </w:rPr>
              <w:t>al, seguida do registro pela inaplicabilidade de sanção.</w:t>
            </w:r>
          </w:p>
        </w:tc>
      </w:tr>
    </w:tbl>
    <w:p w:rsidR="00EB2C24" w:rsidRDefault="00EB2C24">
      <w:pPr>
        <w:jc w:val="both"/>
        <w:rPr>
          <w:rFonts w:ascii="Rasa" w:eastAsia="Rasa" w:hAnsi="Rasa" w:cs="Rasa"/>
          <w:sz w:val="20"/>
          <w:szCs w:val="20"/>
        </w:rPr>
      </w:pPr>
    </w:p>
    <w:tbl>
      <w:tblPr>
        <w:tblStyle w:val="a8"/>
        <w:tblW w:w="14235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11970"/>
      </w:tblGrid>
      <w:tr w:rsidR="00EB2C24">
        <w:tc>
          <w:tcPr>
            <w:tcW w:w="2265" w:type="dxa"/>
            <w:shd w:val="clear" w:color="auto" w:fill="CCCCCC"/>
          </w:tcPr>
          <w:p w:rsidR="00EB2C24" w:rsidRDefault="00EE0100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70" w:type="dxa"/>
            <w:shd w:val="clear" w:color="auto" w:fill="auto"/>
          </w:tcPr>
          <w:p w:rsidR="00EB2C24" w:rsidRDefault="00EB2C24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2C24">
        <w:tc>
          <w:tcPr>
            <w:tcW w:w="14235" w:type="dxa"/>
            <w:gridSpan w:val="2"/>
            <w:shd w:val="clear" w:color="auto" w:fill="auto"/>
          </w:tcPr>
          <w:p w:rsidR="00EB2C24" w:rsidRDefault="00EE010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EB2C24" w:rsidRDefault="00EE01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EB2C24" w:rsidRDefault="00EE01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EB2C24" w:rsidRDefault="00EE01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EB2C24" w:rsidRDefault="00EE0100">
      <w:pPr>
        <w:jc w:val="both"/>
        <w:rPr>
          <w:rFonts w:ascii="Arial" w:eastAsia="Arial" w:hAnsi="Arial" w:cs="Arial"/>
          <w:b/>
          <w:color w:val="1C4587"/>
          <w:sz w:val="20"/>
          <w:szCs w:val="20"/>
        </w:rPr>
        <w:sectPr w:rsidR="00EB2C24">
          <w:headerReference w:type="default" r:id="rId8"/>
          <w:footerReference w:type="default" r:id="rId9"/>
          <w:pgSz w:w="16837" w:h="11905" w:orient="landscape"/>
          <w:pgMar w:top="1701" w:right="1134" w:bottom="1134" w:left="1701" w:header="709" w:footer="709" w:gutter="0"/>
          <w:pgNumType w:start="1"/>
          <w:cols w:space="720"/>
        </w:sectPr>
      </w:pPr>
      <w:r>
        <w:br w:type="page"/>
      </w:r>
    </w:p>
    <w:p w:rsidR="00EB2C24" w:rsidRDefault="00EE010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Responsabilização</w:t>
      </w:r>
    </w:p>
    <w:p w:rsidR="00EB2C24" w:rsidRDefault="00EB2C24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9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EB2C24">
        <w:trPr>
          <w:trHeight w:val="72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papel de trabalho é que o auditor (ou equipe de fiscalização) registre sua conclusão quanto a existência de responsabilidade pessoal e subjetiva do agente que praticou conduta relacionada ao achado identificado. A Matriz de Responsabilizaç</w:t>
            </w:r>
            <w:r>
              <w:rPr>
                <w:rFonts w:ascii="Arial" w:eastAsia="Arial" w:hAnsi="Arial" w:cs="Arial"/>
                <w:sz w:val="16"/>
                <w:szCs w:val="16"/>
              </w:rPr>
              <w:t>ão deve ser preenchida durante a fase de execução do acompanhamento, posterior ao registro dos achados.</w:t>
            </w:r>
          </w:p>
        </w:tc>
      </w:tr>
      <w:tr w:rsidR="00EB2C24">
        <w:trPr>
          <w:trHeight w:val="534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12/25;</w:t>
            </w:r>
          </w:p>
          <w:p w:rsidR="00EB2C24" w:rsidRDefault="00EE010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50/1.1.1-1.1.4; 3.1;3.4;4.4</w:t>
            </w:r>
          </w:p>
        </w:tc>
      </w:tr>
      <w:tr w:rsidR="00EB2C24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responsabilidade pessoal pode ser medida pela extensão da participação da pessoa em uma transação não conforme (ilegal, desnecessária, excessiva, extravagante, desmedida), conforme indicado nos documentos de transações que ela assinou.</w:t>
            </w:r>
          </w:p>
          <w:p w:rsidR="00EB2C24" w:rsidRDefault="00EE010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auditor deve rea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lizar procedimentos para obter evidência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acompanhamentosuficiente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 apropriada quanto à responsabilidade do agente público que pode ser responsabilizado por atos de não conformidade ou por atos ilícitos.</w:t>
            </w:r>
          </w:p>
          <w:p w:rsidR="00EB2C24" w:rsidRDefault="00EE010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julgamento profissional para determinar se o ag</w:t>
            </w:r>
            <w:r>
              <w:rPr>
                <w:rFonts w:ascii="Arial" w:eastAsia="Arial" w:hAnsi="Arial" w:cs="Arial"/>
                <w:sz w:val="16"/>
                <w:szCs w:val="16"/>
              </w:rPr>
              <w:t>ente público é ou não pessoalmente responsável por atos de não conformidade pode incluir:</w:t>
            </w:r>
          </w:p>
          <w:p w:rsidR="00EB2C24" w:rsidRDefault="00EE0100">
            <w:pPr>
              <w:spacing w:before="200" w:line="276" w:lineRule="auto"/>
              <w:ind w:left="85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uma avaliação da forma como as responsabilidades mencionadas pela lei ou incluídas na descrição do cargo do agente público foram realizadas; </w:t>
            </w:r>
          </w:p>
          <w:p w:rsidR="00EB2C24" w:rsidRDefault="00EE0100">
            <w:pPr>
              <w:spacing w:before="200" w:line="276" w:lineRule="auto"/>
              <w:ind w:left="85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b) determinar se o at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 de não conformidade ou ilegal do agente público causou perda identificada, mau uso ou desperdício de fundos ou bens públicos; </w:t>
            </w:r>
          </w:p>
          <w:p w:rsidR="00EB2C24" w:rsidRDefault="00EE0100">
            <w:pPr>
              <w:spacing w:before="200" w:line="276" w:lineRule="auto"/>
              <w:ind w:left="85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c) uma avaliação das possíveis circunstâncias excludentes de responsabilização, como as de ilicitude ou de culpabilidade (exemp</w:t>
            </w:r>
            <w:r>
              <w:rPr>
                <w:rFonts w:ascii="Arial" w:eastAsia="Arial" w:hAnsi="Arial" w:cs="Arial"/>
                <w:sz w:val="16"/>
                <w:szCs w:val="16"/>
              </w:rPr>
              <w:t>los: artigos 20 a 26 do Código Penal; artigo 196 e seguintes da Lei estadual n° 20.756, de 28 de janeiro de 2020 e artigos 22 e 20 da Lei de Introdução às Normas do Direito Brasileiro-LINDB).</w:t>
            </w:r>
          </w:p>
          <w:p w:rsidR="00EB2C24" w:rsidRDefault="00EE010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sz w:val="16"/>
                <w:szCs w:val="16"/>
              </w:rPr>
              <w:t>No relatório, o auditor precisa explicar os métodos aplicados pa</w:t>
            </w:r>
            <w:r>
              <w:rPr>
                <w:rFonts w:ascii="Arial" w:eastAsia="Arial" w:hAnsi="Arial" w:cs="Arial"/>
                <w:sz w:val="16"/>
                <w:szCs w:val="16"/>
              </w:rPr>
              <w:t>ra determinar se cada pessoa responsável envolvida na administração, gerenciamento, uso ou controle de recursos ou bens públicos é ou não responsável pelos atos de não conformidade.</w:t>
            </w:r>
          </w:p>
          <w:p w:rsidR="00EB2C24" w:rsidRDefault="00EE010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Caso não tenha sido identificada responsabilidade pessoal do gestor pelos </w:t>
            </w:r>
            <w:r>
              <w:rPr>
                <w:rFonts w:ascii="Arial" w:eastAsia="Arial" w:hAnsi="Arial" w:cs="Arial"/>
                <w:sz w:val="16"/>
                <w:szCs w:val="16"/>
              </w:rPr>
              <w:t>atos de não conformidade, este papel de trabalho pode ser dispensado.</w:t>
            </w:r>
          </w:p>
          <w:p w:rsidR="00EB2C24" w:rsidRDefault="00EE010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mensuração da responsabilidade, devem ser respondidos os seguintes subtópicos:</w:t>
            </w:r>
          </w:p>
          <w:p w:rsidR="00EB2C24" w:rsidRDefault="00EE010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avaliação da reprovabilidade da conduta e na mensuração da responsabilidade pelos achados, podem auxiliar na elaboração da opinião técnica do auditor ou equipe de fiscalização a resposta aos seguintes itens:  </w:t>
            </w:r>
          </w:p>
          <w:p w:rsidR="00EB2C24" w:rsidRDefault="00EE0100">
            <w:pPr>
              <w:numPr>
                <w:ilvl w:val="0"/>
                <w:numId w:val="1"/>
              </w:num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individualização das condutas das pessoas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responsáveis e suas explicações sobre seus atos de não conformidade e/ou possíveis atos ilícitos, quando apropriado;</w:t>
            </w:r>
          </w:p>
          <w:p w:rsidR="00EB2C24" w:rsidRDefault="00EE010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valor da perda, do mau uso ou do desperdício gerado e o montante a ser ressarcido devido à responsabilidade pessoal;</w:t>
            </w:r>
          </w:p>
          <w:p w:rsidR="00EB2C24" w:rsidRDefault="00EE010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Quaisquer medidas t</w:t>
            </w:r>
            <w:r>
              <w:rPr>
                <w:rFonts w:ascii="Arial" w:eastAsia="Arial" w:hAnsi="Arial" w:cs="Arial"/>
                <w:sz w:val="16"/>
                <w:szCs w:val="16"/>
              </w:rPr>
              <w:t>omadas por pessoas responsáveis, antes ou durante o acompanhamento, para reparar a perda, o mau uso ou desperdício gerados;</w:t>
            </w:r>
          </w:p>
          <w:p w:rsidR="00EB2C24" w:rsidRDefault="00EE010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 argumentos da administração sobre os atos de conformidade ou ilícitos;</w:t>
            </w:r>
          </w:p>
          <w:p w:rsidR="00EB2C24" w:rsidRDefault="00EE010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 obstáculos e as dificuldades reais do gestor e as exigê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ncias das políticas públicas a seu cargo, bem como as circunstâncias práticas que houverem imposto, limitado ou condicionado a ação do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agente  (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>art. 22, caput e §1º da LINDB);</w:t>
            </w:r>
          </w:p>
          <w:p w:rsidR="00EB2C24" w:rsidRDefault="00EE010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natureza e a gravidade da infração cometida, os danos que dela provierem para </w:t>
            </w:r>
            <w:r>
              <w:rPr>
                <w:rFonts w:ascii="Arial" w:eastAsia="Arial" w:hAnsi="Arial" w:cs="Arial"/>
                <w:sz w:val="16"/>
                <w:szCs w:val="16"/>
              </w:rPr>
              <w:t>a administração pública, as circunstâncias agravantes ou atenuantes e os antecedentes do agente (art. 22, §2º da LINDB);</w:t>
            </w:r>
          </w:p>
          <w:p w:rsidR="00EB2C24" w:rsidRDefault="00EE010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natureza e extensão das sanções legalmente previstas para o caso.</w:t>
            </w:r>
          </w:p>
        </w:tc>
      </w:tr>
      <w:tr w:rsidR="00EB2C24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fiscalização precisam verificar se foram considerados de maneira adequada todos os itens propostos na matriz de responsabilização.</w:t>
            </w:r>
          </w:p>
        </w:tc>
      </w:tr>
      <w:tr w:rsidR="00EB2C24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tabela indicando o nome das pessoas que elab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oraram e documentaram a matriz, bem como seu(s) revisor(es) deverão ser preenchidas ao final. </w:t>
            </w:r>
          </w:p>
        </w:tc>
      </w:tr>
      <w:tr w:rsidR="00EB2C24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Materiais de apoio e consulta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2C24" w:rsidRDefault="00EE0100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Responsabilização de agentes perante o Tribunal de Contas: </w:t>
            </w:r>
            <w:hyperlink r:id="rId10"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>https://tcers.tc.br/repo/orientacoes_gestores/RESPONSABILIZACAO-AGENTES.pdf</w:t>
              </w:r>
            </w:hyperlink>
          </w:p>
          <w:p w:rsidR="00EB2C24" w:rsidRDefault="00EB2C24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</w:p>
          <w:p w:rsidR="00EB2C24" w:rsidRDefault="00EE0100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Responsabilização de Agentes Segundo a Jurisprudência do TCU – Uma abordagem a partir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de Licitações e Contratos. Aula 5 - Matriz de responsabilização - </w:t>
            </w:r>
            <w:hyperlink r:id="rId11"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>https://portal.tcu.gov.br/biblioteca-digital/responsabilizacao-de-agentes-segundo-a-jurisprudencia-do-tcu-uma-abordagem-a-partir-de-licitacoes-e-contratos-aulas-1-a-5.htm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EB2C24" w:rsidRDefault="00EB2C24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</w:p>
          <w:p w:rsidR="00EB2C24" w:rsidRDefault="00EE0100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 responsabilização do agente  e a desconsideração da personalidade jurídica no âm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bito dos Tribunais de Contas - </w:t>
            </w:r>
            <w:hyperlink r:id="rId12"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>https://revista.tce.mg.gov.br/revista/index.php/TCEMG/article/view/563/535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EB2C24" w:rsidRDefault="00EB2C24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</w:p>
          <w:p w:rsidR="00EB2C24" w:rsidRDefault="00EE0100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competência sancionadora dos Tribunais de Contas e 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princípio da reserva legal - </w:t>
            </w:r>
            <w:hyperlink r:id="rId13"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>https://www.conjur.com.br/2023-jan-10/viana-melo-competencia-sancionadora-tribunais-contas/</w:t>
              </w:r>
            </w:hyperlink>
          </w:p>
          <w:p w:rsidR="00EB2C24" w:rsidRDefault="00EB2C24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</w:p>
          <w:p w:rsidR="00EB2C24" w:rsidRDefault="00EE0100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artigo 71 da Constituição da República comentado pelo Supremo Tribunal Federal - </w:t>
            </w:r>
            <w:hyperlink r:id="rId14"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>https://portal.stf.jus.br/constituicao-supremo/artigo.asp?abrirBase=</w:t>
              </w:r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>CF&amp;abrirArtigo=71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EB2C24" w:rsidRDefault="00EB2C24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EB2C24" w:rsidRDefault="00EB2C24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EB2C24" w:rsidRDefault="00EB2C24">
      <w:pPr>
        <w:jc w:val="both"/>
        <w:rPr>
          <w:rFonts w:ascii="Arial" w:eastAsia="Arial" w:hAnsi="Arial" w:cs="Arial"/>
          <w:sz w:val="20"/>
          <w:szCs w:val="20"/>
        </w:rPr>
      </w:pPr>
    </w:p>
    <w:sectPr w:rsidR="00EB2C24">
      <w:pgSz w:w="11905" w:h="16837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E0100">
      <w:r>
        <w:separator/>
      </w:r>
    </w:p>
  </w:endnote>
  <w:endnote w:type="continuationSeparator" w:id="0">
    <w:p w:rsidR="00000000" w:rsidRDefault="00EE0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C24" w:rsidRDefault="00EE01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EB2C24" w:rsidRDefault="00EB2C2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E0100">
      <w:r>
        <w:separator/>
      </w:r>
    </w:p>
  </w:footnote>
  <w:footnote w:type="continuationSeparator" w:id="0">
    <w:p w:rsidR="00000000" w:rsidRDefault="00EE0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C24" w:rsidRDefault="00EB2C24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a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EB2C24">
      <w:trPr>
        <w:trHeight w:val="1418"/>
        <w:jc w:val="center"/>
      </w:trPr>
      <w:tc>
        <w:tcPr>
          <w:tcW w:w="3000" w:type="dxa"/>
          <w:vAlign w:val="center"/>
        </w:tcPr>
        <w:p w:rsidR="00EB2C24" w:rsidRDefault="00EB2C2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EB2C24" w:rsidRDefault="00EE010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-1546860</wp:posOffset>
                </wp:positionH>
                <wp:positionV relativeFrom="paragraph">
                  <wp:posOffset>45720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B2C24" w:rsidRDefault="00EE010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EB2C24" w:rsidRDefault="00EE010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EB2C24" w:rsidRDefault="00EE010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EB2C24" w:rsidRDefault="00EB2C24">
    <w:pPr>
      <w:widowControl/>
      <w:tabs>
        <w:tab w:val="center" w:pos="4252"/>
        <w:tab w:val="right" w:pos="8504"/>
      </w:tabs>
      <w:rPr>
        <w:rFonts w:ascii="Arial" w:eastAsia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52293"/>
    <w:multiLevelType w:val="multilevel"/>
    <w:tmpl w:val="2FBCB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62143C6"/>
    <w:multiLevelType w:val="multilevel"/>
    <w:tmpl w:val="99A021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C24"/>
    <w:rsid w:val="00EB2C24"/>
    <w:rsid w:val="00EE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uiPriority w:val="10"/>
    <w:qFormat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Rodap">
    <w:name w:val="footer"/>
    <w:basedOn w:val="Normal"/>
    <w:link w:val="RodapChar"/>
    <w:uiPriority w:val="99"/>
    <w:rsid w:val="005D46C9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3F28"/>
  </w:style>
  <w:style w:type="table" w:styleId="Tabelacomgrade">
    <w:name w:val="Table Grid"/>
    <w:basedOn w:val="Tabelanormal"/>
    <w:rsid w:val="00C5446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3679C8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7293D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CabealhoChar">
    <w:name w:val="Cabeçalho Char"/>
    <w:link w:val="Cabealho"/>
    <w:uiPriority w:val="99"/>
    <w:rsid w:val="00120AC1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conjur.com.br/2023-jan-10/viana-melo-competencia-sancionadora-tribunais-cont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vista.tce.mg.gov.br/revista/index.php/TCEMG/article/view/563/53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tcu.gov.br/biblioteca-digital/responsabilizacao-de-agentes-segundo-a-jurisprudencia-do-tcu-uma-abordagem-a-partir-de-licitacoes-e-contratos-aulas-1-a-5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cers.tc.br/repo/orientacoes_gestores/RESPONSABILIZACAO-AGENTES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ortal.stf.jus.br/constituicao-supremo/artigo.asp?abrirBase=CF&amp;abrirArtigo=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3cjrVcbKCaSqoGFoCV0GMkbUGQ==">CgMxLjAyCWguMzBqMHpsbDIIaC5namRneHM4AHIhMUR3N1hIRlBPRXY1QlJBallQbFN0cDVfTGZfZ1ZtRUFC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1213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2024-02-28T19:10:00Z</dcterms:created>
  <dcterms:modified xsi:type="dcterms:W3CDTF">2025-08-04T14:39:00Z</dcterms:modified>
</cp:coreProperties>
</file>